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B97D" w14:textId="77777777" w:rsidR="00180A3C" w:rsidRDefault="00FB25C7">
      <w:pPr>
        <w:pStyle w:val="BodyText"/>
        <w:spacing w:before="110"/>
        <w:ind w:left="0"/>
        <w:rPr>
          <w:rFonts w:ascii="Times New Roman"/>
          <w:sz w:val="20"/>
        </w:rPr>
      </w:pPr>
      <w:r>
        <w:rPr>
          <w:rFonts w:ascii="Times New Roman"/>
          <w:noProof/>
          <w:sz w:val="20"/>
        </w:rPr>
        <w:drawing>
          <wp:anchor distT="0" distB="0" distL="0" distR="0" simplePos="0" relativeHeight="251658242" behindDoc="1" locked="0" layoutInCell="1" allowOverlap="1" wp14:anchorId="5EA64EE4" wp14:editId="2D2D66A8">
            <wp:simplePos x="0" y="0"/>
            <wp:positionH relativeFrom="page">
              <wp:posOffset>16509</wp:posOffset>
            </wp:positionH>
            <wp:positionV relativeFrom="page">
              <wp:posOffset>14263</wp:posOffset>
            </wp:positionV>
            <wp:extent cx="7180797" cy="104374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80797" cy="10437401"/>
                    </a:xfrm>
                    <a:prstGeom prst="rect">
                      <a:avLst/>
                    </a:prstGeom>
                  </pic:spPr>
                </pic:pic>
              </a:graphicData>
            </a:graphic>
          </wp:anchor>
        </w:drawing>
      </w:r>
    </w:p>
    <w:p w14:paraId="5D5791FA" w14:textId="2B41DF58" w:rsidR="00F5420A" w:rsidRDefault="00FB25C7">
      <w:pPr>
        <w:spacing w:line="458" w:lineRule="auto"/>
        <w:ind w:left="3037" w:right="3035"/>
        <w:jc w:val="center"/>
        <w:rPr>
          <w:rFonts w:ascii="Arial" w:hAnsi="Arial"/>
          <w:b/>
          <w:sz w:val="20"/>
        </w:rPr>
      </w:pPr>
      <w:r>
        <w:rPr>
          <w:rFonts w:ascii="Arial" w:hAnsi="Arial"/>
          <w:b/>
          <w:sz w:val="20"/>
        </w:rPr>
        <w:t>INSTRUCTIONS</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COURSE</w:t>
      </w:r>
    </w:p>
    <w:p w14:paraId="54ABCF0F" w14:textId="77777777" w:rsidR="00180A3C" w:rsidRDefault="00FB25C7">
      <w:pPr>
        <w:pStyle w:val="Heading1"/>
        <w:spacing w:line="234" w:lineRule="exact"/>
        <w:ind w:firstLine="0"/>
        <w:jc w:val="center"/>
      </w:pPr>
      <w:r>
        <w:t>REGATE</w:t>
      </w:r>
      <w:r>
        <w:rPr>
          <w:spacing w:val="-6"/>
        </w:rPr>
        <w:t xml:space="preserve"> </w:t>
      </w:r>
      <w:r>
        <w:t>INTERLIGUE</w:t>
      </w:r>
      <w:r>
        <w:rPr>
          <w:spacing w:val="-6"/>
        </w:rPr>
        <w:t xml:space="preserve"> </w:t>
      </w:r>
      <w:r>
        <w:t>COUPE</w:t>
      </w:r>
      <w:r>
        <w:rPr>
          <w:spacing w:val="-6"/>
        </w:rPr>
        <w:t xml:space="preserve"> </w:t>
      </w:r>
      <w:r>
        <w:t>VNO</w:t>
      </w:r>
      <w:r>
        <w:rPr>
          <w:spacing w:val="-6"/>
        </w:rPr>
        <w:t xml:space="preserve"> </w:t>
      </w:r>
      <w:r>
        <w:rPr>
          <w:spacing w:val="-2"/>
        </w:rPr>
        <w:t>RIVIERE</w:t>
      </w:r>
    </w:p>
    <w:p w14:paraId="5E335CC5" w14:textId="77777777" w:rsidR="00180A3C" w:rsidRDefault="00FB25C7">
      <w:pPr>
        <w:spacing w:before="109" w:line="338" w:lineRule="auto"/>
        <w:ind w:left="3608" w:right="3606"/>
        <w:jc w:val="center"/>
      </w:pPr>
      <w:r>
        <w:rPr>
          <w:b/>
        </w:rPr>
        <w:t>Du</w:t>
      </w:r>
      <w:r>
        <w:rPr>
          <w:b/>
          <w:spacing w:val="-7"/>
        </w:rPr>
        <w:t xml:space="preserve"> </w:t>
      </w:r>
      <w:r>
        <w:rPr>
          <w:b/>
        </w:rPr>
        <w:t>21</w:t>
      </w:r>
      <w:r>
        <w:rPr>
          <w:b/>
          <w:spacing w:val="-8"/>
        </w:rPr>
        <w:t xml:space="preserve"> </w:t>
      </w:r>
      <w:r>
        <w:rPr>
          <w:b/>
        </w:rPr>
        <w:t>au</w:t>
      </w:r>
      <w:r>
        <w:rPr>
          <w:b/>
          <w:spacing w:val="-7"/>
        </w:rPr>
        <w:t xml:space="preserve"> </w:t>
      </w:r>
      <w:r>
        <w:rPr>
          <w:b/>
        </w:rPr>
        <w:t>22</w:t>
      </w:r>
      <w:r>
        <w:rPr>
          <w:b/>
          <w:spacing w:val="-8"/>
        </w:rPr>
        <w:t xml:space="preserve"> </w:t>
      </w:r>
      <w:r>
        <w:rPr>
          <w:b/>
        </w:rPr>
        <w:t>juin</w:t>
      </w:r>
      <w:r>
        <w:rPr>
          <w:b/>
          <w:spacing w:val="-7"/>
        </w:rPr>
        <w:t xml:space="preserve"> </w:t>
      </w:r>
      <w:r>
        <w:rPr>
          <w:b/>
        </w:rPr>
        <w:t xml:space="preserve">2025 </w:t>
      </w:r>
      <w:r>
        <w:t xml:space="preserve">CV Boucle de Seine </w:t>
      </w:r>
      <w:r>
        <w:rPr>
          <w:spacing w:val="-2"/>
        </w:rPr>
        <w:t>Montesson</w:t>
      </w:r>
    </w:p>
    <w:p w14:paraId="4A74B152" w14:textId="77777777" w:rsidR="00F451EF" w:rsidRDefault="00F451EF">
      <w:pPr>
        <w:pStyle w:val="BodyText"/>
        <w:spacing w:line="266" w:lineRule="exact"/>
        <w:ind w:left="3037" w:right="3037"/>
        <w:jc w:val="center"/>
      </w:pPr>
    </w:p>
    <w:p w14:paraId="2B127A51" w14:textId="77777777" w:rsidR="00F451EF" w:rsidRDefault="00F451EF" w:rsidP="00F451EF">
      <w:pPr>
        <w:spacing w:line="458" w:lineRule="auto"/>
        <w:ind w:left="3037" w:right="3035"/>
        <w:jc w:val="center"/>
        <w:rPr>
          <w:rFonts w:ascii="Arial" w:hAnsi="Arial"/>
          <w:b/>
          <w:sz w:val="20"/>
        </w:rPr>
      </w:pPr>
      <w:r>
        <w:rPr>
          <w:rFonts w:ascii="Arial" w:hAnsi="Arial"/>
          <w:b/>
          <w:sz w:val="20"/>
        </w:rPr>
        <w:t>Avenant n° 1</w:t>
      </w:r>
    </w:p>
    <w:p w14:paraId="4D2714EC" w14:textId="77777777" w:rsidR="00180A3C" w:rsidRDefault="00180A3C">
      <w:pPr>
        <w:pStyle w:val="BodyText"/>
        <w:spacing w:before="118"/>
        <w:ind w:left="0"/>
      </w:pPr>
    </w:p>
    <w:p w14:paraId="5129F253" w14:textId="66CDA25D" w:rsidR="009052CB" w:rsidRDefault="00AF4A89" w:rsidP="009052CB">
      <w:pPr>
        <w:pStyle w:val="BodyText"/>
        <w:spacing w:before="26" w:line="192" w:lineRule="auto"/>
        <w:ind w:left="0" w:right="189"/>
      </w:pPr>
      <w:r w:rsidRPr="00AF4A89">
        <w:t xml:space="preserve">L’article 15 « Système de pénalité » est complété </w:t>
      </w:r>
      <w:r w:rsidR="007A784F">
        <w:t>comme suit</w:t>
      </w:r>
      <w:r w:rsidR="0013377F">
        <w:t xml:space="preserve"> </w:t>
      </w:r>
      <w:r w:rsidRPr="00AF4A89">
        <w:t>:</w:t>
      </w:r>
    </w:p>
    <w:p w14:paraId="0A15D390" w14:textId="77777777" w:rsidR="00AF4A89" w:rsidRDefault="00AF4A89" w:rsidP="009052CB">
      <w:pPr>
        <w:pStyle w:val="BodyText"/>
        <w:spacing w:before="26" w:line="192" w:lineRule="auto"/>
        <w:ind w:left="0" w:right="189"/>
      </w:pPr>
    </w:p>
    <w:p w14:paraId="0489B10C" w14:textId="71406C15" w:rsidR="008067B6" w:rsidRDefault="008067B6" w:rsidP="006C5660">
      <w:pPr>
        <w:tabs>
          <w:tab w:val="left" w:pos="878"/>
        </w:tabs>
        <w:spacing w:before="17" w:line="194" w:lineRule="auto"/>
        <w:ind w:left="878" w:right="194" w:hanging="736"/>
      </w:pPr>
      <w:r>
        <w:t>15.2</w:t>
      </w:r>
      <w:r w:rsidR="006345D7">
        <w:tab/>
      </w:r>
      <w:r w:rsidR="00510D2F" w:rsidRPr="00384E87">
        <w:rPr>
          <w:b/>
          <w:bCs/>
        </w:rPr>
        <w:t>Jugement sur l’eau</w:t>
      </w:r>
      <w:r w:rsidR="00384E87" w:rsidRPr="00384E87">
        <w:rPr>
          <w:b/>
          <w:bCs/>
        </w:rPr>
        <w:t> :</w:t>
      </w:r>
      <w:r w:rsidR="00384E87">
        <w:t xml:space="preserve"> </w:t>
      </w:r>
      <w:r w:rsidR="00384E87" w:rsidRPr="00384E87">
        <w:t>L’annexe jugement semi-direct s’applique et, si les règles de classe le prévoient, les exigences de la RCV P5 s’appliquent à la règle SD3.</w:t>
      </w:r>
    </w:p>
    <w:p w14:paraId="30E70585" w14:textId="77777777" w:rsidR="00BD5301" w:rsidRDefault="00BD5301" w:rsidP="006C5660">
      <w:pPr>
        <w:tabs>
          <w:tab w:val="left" w:pos="878"/>
        </w:tabs>
        <w:spacing w:before="17" w:line="194" w:lineRule="auto"/>
        <w:ind w:left="878" w:right="194" w:hanging="736"/>
      </w:pPr>
    </w:p>
    <w:p w14:paraId="7E613782" w14:textId="77777777" w:rsidR="00BD5301" w:rsidRDefault="00BD5301" w:rsidP="006C5660">
      <w:pPr>
        <w:tabs>
          <w:tab w:val="left" w:pos="878"/>
        </w:tabs>
        <w:spacing w:before="17" w:line="194" w:lineRule="auto"/>
        <w:ind w:left="878" w:right="194" w:hanging="736"/>
      </w:pPr>
    </w:p>
    <w:p w14:paraId="4FD09A81" w14:textId="77777777" w:rsidR="00BD5301" w:rsidRDefault="00BD5301" w:rsidP="006C5660">
      <w:pPr>
        <w:tabs>
          <w:tab w:val="left" w:pos="878"/>
        </w:tabs>
        <w:spacing w:before="17" w:line="194" w:lineRule="auto"/>
        <w:ind w:left="878" w:right="194" w:hanging="736"/>
      </w:pPr>
    </w:p>
    <w:p w14:paraId="2F9BFF1B" w14:textId="77777777" w:rsidR="004506AD" w:rsidRDefault="004506AD" w:rsidP="00BD5301">
      <w:pPr>
        <w:spacing w:before="80"/>
        <w:ind w:left="2552" w:right="3037"/>
        <w:jc w:val="center"/>
        <w:rPr>
          <w:rFonts w:ascii="Arial"/>
          <w:b/>
          <w:sz w:val="20"/>
        </w:rPr>
      </w:pPr>
    </w:p>
    <w:p w14:paraId="3E5E8CFD" w14:textId="77777777" w:rsidR="004506AD" w:rsidRDefault="004506AD" w:rsidP="00BD5301">
      <w:pPr>
        <w:spacing w:before="80"/>
        <w:ind w:left="2552" w:right="3037"/>
        <w:jc w:val="center"/>
        <w:rPr>
          <w:rFonts w:ascii="Arial"/>
          <w:b/>
          <w:sz w:val="20"/>
        </w:rPr>
      </w:pPr>
    </w:p>
    <w:p w14:paraId="07242C12" w14:textId="0E967DA3" w:rsidR="0006108C" w:rsidRDefault="0006108C" w:rsidP="00BD5301">
      <w:pPr>
        <w:spacing w:before="80"/>
        <w:ind w:left="2552" w:right="3037"/>
        <w:jc w:val="center"/>
        <w:rPr>
          <w:rFonts w:ascii="Arial"/>
          <w:b/>
          <w:sz w:val="20"/>
        </w:rPr>
      </w:pPr>
      <w:r>
        <w:rPr>
          <w:rFonts w:ascii="Arial"/>
          <w:b/>
          <w:sz w:val="20"/>
        </w:rPr>
        <w:t xml:space="preserve">ANNEXE </w:t>
      </w:r>
      <w:r w:rsidR="00BD5301" w:rsidRPr="00BD5301">
        <w:rPr>
          <w:rFonts w:ascii="Arial"/>
          <w:b/>
          <w:sz w:val="20"/>
        </w:rPr>
        <w:t>JUGEMENT SEMI-DIRECT</w:t>
      </w:r>
    </w:p>
    <w:p w14:paraId="6686E102" w14:textId="5F72F180" w:rsidR="0006108C" w:rsidRDefault="0006108C" w:rsidP="0006108C">
      <w:pPr>
        <w:spacing w:before="80"/>
        <w:ind w:left="3037" w:right="3037"/>
        <w:jc w:val="center"/>
        <w:rPr>
          <w:rFonts w:ascii="Arial"/>
          <w:b/>
          <w:sz w:val="20"/>
        </w:rPr>
      </w:pPr>
    </w:p>
    <w:p w14:paraId="56633662" w14:textId="77777777" w:rsidR="0006108C" w:rsidRDefault="0006108C" w:rsidP="0006108C">
      <w:pPr>
        <w:rPr>
          <w:rFonts w:cs="Arial"/>
        </w:rPr>
      </w:pPr>
    </w:p>
    <w:p w14:paraId="0D9634B3" w14:textId="77777777" w:rsidR="00EB3E62" w:rsidRDefault="00EB3E62" w:rsidP="005314BF">
      <w:pPr>
        <w:spacing w:after="60"/>
        <w:rPr>
          <w:rFonts w:ascii="Arial" w:eastAsiaTheme="minorHAnsi" w:hAnsi="Arial" w:cs="Arial"/>
          <w:i/>
          <w:szCs w:val="20"/>
        </w:rPr>
      </w:pPr>
      <w:r>
        <w:rPr>
          <w:rFonts w:cs="Arial"/>
          <w:b/>
          <w:i/>
          <w:szCs w:val="20"/>
        </w:rPr>
        <w:t>Version 6</w:t>
      </w:r>
      <w:r>
        <w:rPr>
          <w:rFonts w:cs="Arial"/>
          <w:i/>
          <w:szCs w:val="20"/>
        </w:rPr>
        <w:t> : janvier 2025</w:t>
      </w:r>
    </w:p>
    <w:p w14:paraId="567062EF" w14:textId="77777777" w:rsidR="00EB3E62" w:rsidRDefault="00EB3E62" w:rsidP="005314BF">
      <w:pPr>
        <w:tabs>
          <w:tab w:val="left" w:pos="851"/>
        </w:tabs>
        <w:spacing w:after="60"/>
        <w:rPr>
          <w:rFonts w:cs="Arial"/>
          <w:szCs w:val="20"/>
        </w:rPr>
      </w:pPr>
      <w:r>
        <w:rPr>
          <w:rFonts w:cs="Arial"/>
          <w:szCs w:val="20"/>
        </w:rPr>
        <w:t>Les règles de cette annexe modifient les RCV 44.1, 60.1, 61, 63.2, 63.6, 63.7, 70 et seule la RCV P5 s’applique</w:t>
      </w:r>
    </w:p>
    <w:p w14:paraId="2C30A234" w14:textId="77777777" w:rsidR="00EB3E62" w:rsidRDefault="00EB3E62" w:rsidP="005314BF">
      <w:pPr>
        <w:tabs>
          <w:tab w:val="left" w:pos="851"/>
        </w:tabs>
        <w:spacing w:after="60"/>
        <w:ind w:left="851" w:hanging="851"/>
        <w:rPr>
          <w:rFonts w:eastAsiaTheme="minorHAnsi" w:cs="Arial"/>
          <w:szCs w:val="20"/>
        </w:rPr>
      </w:pPr>
    </w:p>
    <w:p w14:paraId="60CB73A3" w14:textId="77777777" w:rsidR="00EB3E62" w:rsidRDefault="00EB3E62" w:rsidP="005314BF">
      <w:pPr>
        <w:tabs>
          <w:tab w:val="left" w:pos="851"/>
        </w:tabs>
        <w:spacing w:after="60"/>
        <w:ind w:left="851" w:hanging="851"/>
        <w:rPr>
          <w:rFonts w:eastAsia="Times New Roman" w:cs="Arial"/>
          <w:szCs w:val="20"/>
        </w:rPr>
      </w:pPr>
      <w:r>
        <w:rPr>
          <w:rFonts w:cs="Arial"/>
          <w:szCs w:val="20"/>
        </w:rPr>
        <w:t>SD1</w:t>
      </w:r>
      <w:r>
        <w:rPr>
          <w:rFonts w:cs="Arial"/>
          <w:szCs w:val="20"/>
        </w:rPr>
        <w:tab/>
        <w:t xml:space="preserve">La RCV 44.1 est modifiée de sorte que la pénalité de deux tours est remplacée par la pénalité d’un tour </w:t>
      </w:r>
    </w:p>
    <w:p w14:paraId="782030BE" w14:textId="77777777" w:rsidR="00EB3E62" w:rsidRDefault="00EB3E62" w:rsidP="005314BF">
      <w:pPr>
        <w:tabs>
          <w:tab w:val="left" w:pos="851"/>
        </w:tabs>
        <w:spacing w:after="60"/>
        <w:ind w:left="851" w:hanging="851"/>
        <w:rPr>
          <w:rFonts w:eastAsiaTheme="minorHAnsi" w:cs="Arial"/>
          <w:szCs w:val="20"/>
        </w:rPr>
      </w:pPr>
      <w:r>
        <w:rPr>
          <w:rFonts w:cs="Arial"/>
          <w:szCs w:val="20"/>
        </w:rPr>
        <w:tab/>
        <w:t xml:space="preserve">Pour certaines classes, la pénalité d’un tour pourra être remplacée par une pénalité de 2 tours après accord de la CCA.  </w:t>
      </w:r>
    </w:p>
    <w:p w14:paraId="05FAE4E2" w14:textId="77777777" w:rsidR="00EB3E62" w:rsidRDefault="00EB3E62" w:rsidP="005314BF">
      <w:pPr>
        <w:spacing w:after="60"/>
        <w:ind w:left="851" w:hanging="851"/>
        <w:rPr>
          <w:rFonts w:eastAsia="Times New Roman" w:cs="Arial"/>
          <w:szCs w:val="20"/>
        </w:rPr>
      </w:pPr>
      <w:r>
        <w:rPr>
          <w:rFonts w:cs="Arial"/>
          <w:szCs w:val="20"/>
        </w:rPr>
        <w:t>SD2</w:t>
      </w:r>
      <w:r>
        <w:rPr>
          <w:rFonts w:cs="Arial"/>
          <w:szCs w:val="20"/>
        </w:rPr>
        <w:tab/>
      </w:r>
      <w:r>
        <w:rPr>
          <w:rFonts w:eastAsia="Times New Roman" w:cs="Arial"/>
          <w:szCs w:val="20"/>
        </w:rPr>
        <w:t>Si un bateau est impliqué dans un incident où une règle du chapitre 2 est enfreinte, ou s’il voit une infraction à la RCV 31 ou 42, ce bateau peut réclamer</w:t>
      </w:r>
    </w:p>
    <w:p w14:paraId="052B6F52" w14:textId="77777777" w:rsidR="00EB3E62" w:rsidRDefault="00EB3E62" w:rsidP="005314BF">
      <w:pPr>
        <w:spacing w:after="60"/>
        <w:ind w:left="1416"/>
        <w:rPr>
          <w:rFonts w:eastAsiaTheme="minorHAnsi" w:cs="Arial"/>
          <w:szCs w:val="20"/>
        </w:rPr>
      </w:pPr>
      <w:r>
        <w:rPr>
          <w:rFonts w:eastAsia="Times New Roman" w:cs="Arial"/>
          <w:szCs w:val="20"/>
        </w:rPr>
        <w:t xml:space="preserve">- </w:t>
      </w:r>
      <w:r>
        <w:rPr>
          <w:rFonts w:cs="Arial"/>
          <w:szCs w:val="20"/>
        </w:rPr>
        <w:t>en hélant « Proteste » et</w:t>
      </w:r>
    </w:p>
    <w:p w14:paraId="6E5A5F9F" w14:textId="77777777" w:rsidR="00EB3E62" w:rsidRDefault="00EB3E62" w:rsidP="005314BF">
      <w:pPr>
        <w:spacing w:after="60"/>
        <w:ind w:left="1416"/>
        <w:rPr>
          <w:rFonts w:cs="Arial"/>
          <w:szCs w:val="20"/>
        </w:rPr>
      </w:pPr>
      <w:r>
        <w:rPr>
          <w:rFonts w:cs="Arial"/>
          <w:szCs w:val="20"/>
        </w:rPr>
        <w:t xml:space="preserve">- en arborant visiblement un pavillon rouge à la première occasion raisonnable (inutile si la longueur de coque du bateau réclamant est inférieure à 6 mètres). </w:t>
      </w:r>
    </w:p>
    <w:p w14:paraId="1C1357DE" w14:textId="77777777" w:rsidR="00EB3E62" w:rsidRDefault="00EB3E62" w:rsidP="005314BF">
      <w:pPr>
        <w:spacing w:after="60"/>
        <w:ind w:left="851"/>
        <w:rPr>
          <w:rFonts w:eastAsia="Times New Roman" w:cs="Arial"/>
          <w:szCs w:val="20"/>
        </w:rPr>
      </w:pPr>
      <w:r>
        <w:rPr>
          <w:rFonts w:cs="Arial"/>
          <w:szCs w:val="20"/>
        </w:rPr>
        <w:t>S</w:t>
      </w:r>
      <w:r>
        <w:rPr>
          <w:rFonts w:eastAsia="Times New Roman" w:cs="Arial"/>
          <w:szCs w:val="20"/>
        </w:rPr>
        <w:t>i le bateau ayant enfreint une règle n’effectue pas de pénalité conformément à la RCV 44.2, le jury pourra le pénaliser en le signalant :</w:t>
      </w:r>
    </w:p>
    <w:p w14:paraId="2D1E91ED" w14:textId="77777777" w:rsidR="00EB3E62" w:rsidRDefault="00EB3E62" w:rsidP="005314BF">
      <w:pPr>
        <w:spacing w:after="60"/>
        <w:ind w:left="1416"/>
        <w:rPr>
          <w:rFonts w:eastAsia="Times New Roman" w:cs="Arial"/>
          <w:szCs w:val="20"/>
        </w:rPr>
      </w:pPr>
      <w:r>
        <w:rPr>
          <w:rFonts w:eastAsia="Times New Roman" w:cs="Arial"/>
          <w:szCs w:val="20"/>
        </w:rPr>
        <w:t xml:space="preserve">- par un coup de sifflet, </w:t>
      </w:r>
    </w:p>
    <w:p w14:paraId="08D1065F" w14:textId="77777777" w:rsidR="00EB3E62" w:rsidRDefault="00EB3E62" w:rsidP="005314BF">
      <w:pPr>
        <w:spacing w:after="60"/>
        <w:ind w:left="1416"/>
        <w:rPr>
          <w:rFonts w:eastAsia="Times New Roman" w:cs="Arial"/>
          <w:szCs w:val="20"/>
        </w:rPr>
      </w:pPr>
      <w:r>
        <w:rPr>
          <w:rFonts w:eastAsia="Times New Roman" w:cs="Arial"/>
          <w:szCs w:val="20"/>
        </w:rPr>
        <w:t xml:space="preserve">- en pointant vers lui un pavillon rouge, et </w:t>
      </w:r>
    </w:p>
    <w:p w14:paraId="55EE12BF" w14:textId="77777777" w:rsidR="00EB3E62" w:rsidRDefault="00EB3E62" w:rsidP="005314BF">
      <w:pPr>
        <w:spacing w:after="60"/>
        <w:ind w:left="1416"/>
        <w:rPr>
          <w:rFonts w:eastAsia="Times New Roman" w:cs="Arial"/>
          <w:szCs w:val="20"/>
        </w:rPr>
      </w:pPr>
      <w:r>
        <w:rPr>
          <w:rFonts w:eastAsia="Times New Roman" w:cs="Arial"/>
          <w:szCs w:val="20"/>
        </w:rPr>
        <w:t xml:space="preserve">- en le désignant. </w:t>
      </w:r>
    </w:p>
    <w:p w14:paraId="295217FC" w14:textId="77777777" w:rsidR="00EB3E62" w:rsidRDefault="00EB3E62" w:rsidP="005314BF">
      <w:pPr>
        <w:spacing w:after="60"/>
        <w:ind w:left="851"/>
        <w:rPr>
          <w:rFonts w:eastAsia="Times New Roman" w:cs="Arial"/>
          <w:szCs w:val="20"/>
        </w:rPr>
      </w:pPr>
      <w:r>
        <w:rPr>
          <w:rFonts w:eastAsia="Times New Roman" w:cs="Arial"/>
          <w:szCs w:val="20"/>
        </w:rPr>
        <w:t xml:space="preserve">Le bateau désigné devra alors effectuer une pénalité selon SD1 et conformément à RCV 44.2.  </w:t>
      </w:r>
    </w:p>
    <w:p w14:paraId="4D6ED5EB" w14:textId="77777777" w:rsidR="00EB3E62" w:rsidRDefault="00EB3E62" w:rsidP="005314BF">
      <w:pPr>
        <w:spacing w:after="60"/>
        <w:ind w:left="851"/>
        <w:rPr>
          <w:rFonts w:eastAsia="Times New Roman" w:cs="Arial"/>
          <w:szCs w:val="20"/>
        </w:rPr>
      </w:pPr>
      <w:r>
        <w:rPr>
          <w:rFonts w:eastAsia="Times New Roman" w:cs="Arial"/>
          <w:szCs w:val="20"/>
        </w:rPr>
        <w:t>Si le jury est convaincu qu’aucune règle n’a été enfreinte, il pourra envoyer un pavillon vert.</w:t>
      </w:r>
    </w:p>
    <w:p w14:paraId="30117B21" w14:textId="77777777" w:rsidR="00EB3E62" w:rsidRDefault="00EB3E62" w:rsidP="005314BF">
      <w:pPr>
        <w:spacing w:after="60"/>
        <w:ind w:left="851" w:hanging="851"/>
        <w:rPr>
          <w:rFonts w:eastAsiaTheme="minorHAnsi" w:cs="Arial"/>
          <w:szCs w:val="20"/>
        </w:rPr>
      </w:pPr>
      <w:r>
        <w:rPr>
          <w:rFonts w:cs="Arial"/>
          <w:szCs w:val="20"/>
        </w:rPr>
        <w:t>SD3</w:t>
      </w:r>
      <w:r>
        <w:rPr>
          <w:rFonts w:cs="Arial"/>
          <w:szCs w:val="20"/>
        </w:rPr>
        <w:tab/>
        <w:t>Quand un bateau enfreint</w:t>
      </w:r>
    </w:p>
    <w:p w14:paraId="29AD63E7" w14:textId="77777777" w:rsidR="00EB3E62" w:rsidRDefault="00EB3E62" w:rsidP="005314BF">
      <w:pPr>
        <w:tabs>
          <w:tab w:val="left" w:pos="1701"/>
        </w:tabs>
        <w:spacing w:after="60"/>
        <w:ind w:left="1416"/>
        <w:rPr>
          <w:rFonts w:cs="Arial"/>
          <w:szCs w:val="20"/>
        </w:rPr>
      </w:pPr>
      <w:r>
        <w:rPr>
          <w:rFonts w:cs="Arial"/>
          <w:szCs w:val="20"/>
        </w:rPr>
        <w:t xml:space="preserve">- </w:t>
      </w:r>
      <w:r>
        <w:rPr>
          <w:rFonts w:cs="Arial"/>
          <w:szCs w:val="20"/>
        </w:rPr>
        <w:tab/>
        <w:t xml:space="preserve">une IC ou une règle de classe régissant l’utilisation du bout dehors, </w:t>
      </w:r>
      <w:proofErr w:type="gramStart"/>
      <w:r>
        <w:rPr>
          <w:rFonts w:cs="Arial"/>
          <w:szCs w:val="20"/>
        </w:rPr>
        <w:t>ou</w:t>
      </w:r>
      <w:proofErr w:type="gramEnd"/>
      <w:r>
        <w:rPr>
          <w:rFonts w:cs="Arial"/>
          <w:szCs w:val="20"/>
        </w:rPr>
        <w:t xml:space="preserve"> </w:t>
      </w:r>
    </w:p>
    <w:p w14:paraId="7BDE5042" w14:textId="77777777" w:rsidR="00EB3E62" w:rsidRDefault="00EB3E62" w:rsidP="005314BF">
      <w:pPr>
        <w:tabs>
          <w:tab w:val="left" w:pos="1701"/>
        </w:tabs>
        <w:spacing w:after="60"/>
        <w:ind w:left="1416"/>
        <w:rPr>
          <w:rFonts w:cs="Arial"/>
          <w:szCs w:val="20"/>
        </w:rPr>
      </w:pPr>
      <w:r>
        <w:rPr>
          <w:rFonts w:cs="Arial"/>
          <w:szCs w:val="20"/>
        </w:rPr>
        <w:t>-</w:t>
      </w:r>
      <w:r>
        <w:rPr>
          <w:rFonts w:cs="Arial"/>
          <w:szCs w:val="20"/>
        </w:rPr>
        <w:tab/>
        <w:t xml:space="preserve">la RCV 31, </w:t>
      </w:r>
      <w:proofErr w:type="gramStart"/>
      <w:r>
        <w:rPr>
          <w:rFonts w:cs="Arial"/>
          <w:szCs w:val="20"/>
        </w:rPr>
        <w:t>ou</w:t>
      </w:r>
      <w:proofErr w:type="gramEnd"/>
    </w:p>
    <w:p w14:paraId="1AB9EEC9" w14:textId="77777777" w:rsidR="00EB3E62" w:rsidRDefault="00EB3E62" w:rsidP="005314BF">
      <w:pPr>
        <w:tabs>
          <w:tab w:val="left" w:pos="1701"/>
        </w:tabs>
        <w:spacing w:after="60"/>
        <w:ind w:left="1416"/>
        <w:rPr>
          <w:rFonts w:cs="Arial"/>
          <w:szCs w:val="20"/>
        </w:rPr>
      </w:pPr>
      <w:r>
        <w:rPr>
          <w:rFonts w:cs="Arial"/>
          <w:szCs w:val="20"/>
        </w:rPr>
        <w:t xml:space="preserve">- </w:t>
      </w:r>
      <w:r>
        <w:rPr>
          <w:rFonts w:cs="Arial"/>
          <w:szCs w:val="20"/>
        </w:rPr>
        <w:tab/>
        <w:t xml:space="preserve">la RCV 49 ou une règle de classe régissant la position de l’équipage, </w:t>
      </w:r>
      <w:proofErr w:type="gramStart"/>
      <w:r>
        <w:rPr>
          <w:rFonts w:cs="Arial"/>
          <w:szCs w:val="20"/>
        </w:rPr>
        <w:t>ou</w:t>
      </w:r>
      <w:proofErr w:type="gramEnd"/>
    </w:p>
    <w:p w14:paraId="6A0A63C4" w14:textId="77777777" w:rsidR="00EB3E62" w:rsidRDefault="00EB3E62" w:rsidP="005314BF">
      <w:pPr>
        <w:tabs>
          <w:tab w:val="left" w:pos="1701"/>
        </w:tabs>
        <w:spacing w:after="60"/>
        <w:ind w:left="1558" w:hanging="142"/>
        <w:rPr>
          <w:rFonts w:cs="Arial"/>
          <w:szCs w:val="20"/>
        </w:rPr>
      </w:pPr>
      <w:r>
        <w:rPr>
          <w:rFonts w:cs="Arial"/>
          <w:szCs w:val="20"/>
        </w:rPr>
        <w:t xml:space="preserve">- </w:t>
      </w:r>
      <w:r>
        <w:rPr>
          <w:rFonts w:cs="Arial"/>
          <w:szCs w:val="20"/>
        </w:rPr>
        <w:tab/>
      </w:r>
      <w:r>
        <w:rPr>
          <w:rFonts w:cs="Arial"/>
          <w:szCs w:val="20"/>
        </w:rPr>
        <w:tab/>
        <w:t xml:space="preserve">la RCV 42, modifiée selon les modalités de la RCV P5 si les règles de classe le </w:t>
      </w:r>
      <w:r>
        <w:rPr>
          <w:rFonts w:cs="Arial"/>
          <w:szCs w:val="20"/>
        </w:rPr>
        <w:lastRenderedPageBreak/>
        <w:t xml:space="preserve">prévoient, </w:t>
      </w:r>
    </w:p>
    <w:p w14:paraId="2BA252BC" w14:textId="77777777" w:rsidR="00EB3E62" w:rsidRDefault="00EB3E62" w:rsidP="005314BF">
      <w:pPr>
        <w:spacing w:after="60"/>
        <w:ind w:left="851"/>
        <w:rPr>
          <w:rFonts w:cs="Arial"/>
          <w:szCs w:val="20"/>
        </w:rPr>
      </w:pPr>
      <w:proofErr w:type="gramStart"/>
      <w:r>
        <w:rPr>
          <w:rFonts w:cs="Arial"/>
          <w:szCs w:val="20"/>
        </w:rPr>
        <w:t>le</w:t>
      </w:r>
      <w:proofErr w:type="gramEnd"/>
      <w:r>
        <w:rPr>
          <w:rFonts w:cs="Arial"/>
          <w:szCs w:val="20"/>
        </w:rPr>
        <w:t xml:space="preserve"> jury peut le pénaliser et signaler la pénalité par un coup de sifflet, en pointant vers lui un pavillon rouge et en le désignant. Le bateau désigné devra alors effectuer une pénalité selon SD1 et conformément à RCV 44.2  </w:t>
      </w:r>
    </w:p>
    <w:p w14:paraId="0D4CCBCB" w14:textId="77777777" w:rsidR="00EB3E62" w:rsidRDefault="00EB3E62" w:rsidP="005314BF">
      <w:pPr>
        <w:spacing w:after="60"/>
        <w:rPr>
          <w:rFonts w:cs="Arial"/>
          <w:szCs w:val="20"/>
        </w:rPr>
      </w:pPr>
      <w:r>
        <w:rPr>
          <w:rFonts w:cs="Arial"/>
          <w:szCs w:val="20"/>
        </w:rPr>
        <w:t>SD4</w:t>
      </w:r>
      <w:r>
        <w:rPr>
          <w:rFonts w:cs="Arial"/>
          <w:szCs w:val="20"/>
        </w:rPr>
        <w:tab/>
        <w:t>Si le bateau désigné</w:t>
      </w:r>
    </w:p>
    <w:p w14:paraId="5632E7E3" w14:textId="77777777" w:rsidR="00EB3E62" w:rsidRDefault="00EB3E62" w:rsidP="005314BF">
      <w:pPr>
        <w:tabs>
          <w:tab w:val="left" w:pos="1701"/>
        </w:tabs>
        <w:spacing w:after="60"/>
        <w:ind w:left="1416"/>
        <w:rPr>
          <w:rFonts w:cs="Arial"/>
          <w:szCs w:val="20"/>
        </w:rPr>
      </w:pPr>
      <w:r>
        <w:rPr>
          <w:rFonts w:cs="Arial"/>
          <w:szCs w:val="20"/>
        </w:rPr>
        <w:t xml:space="preserve">- </w:t>
      </w:r>
      <w:r>
        <w:rPr>
          <w:rFonts w:cs="Arial"/>
          <w:szCs w:val="20"/>
        </w:rPr>
        <w:tab/>
        <w:t xml:space="preserve">n’effectue pas de pénalité, </w:t>
      </w:r>
      <w:proofErr w:type="gramStart"/>
      <w:r>
        <w:rPr>
          <w:rFonts w:cs="Arial"/>
          <w:szCs w:val="20"/>
        </w:rPr>
        <w:t>ou</w:t>
      </w:r>
      <w:proofErr w:type="gramEnd"/>
      <w:r>
        <w:rPr>
          <w:rFonts w:cs="Arial"/>
          <w:szCs w:val="20"/>
        </w:rPr>
        <w:t xml:space="preserve"> </w:t>
      </w:r>
    </w:p>
    <w:p w14:paraId="79F6D1B1" w14:textId="77777777" w:rsidR="00EB3E62" w:rsidRDefault="00EB3E62" w:rsidP="005314BF">
      <w:pPr>
        <w:tabs>
          <w:tab w:val="left" w:pos="1701"/>
        </w:tabs>
        <w:spacing w:after="60"/>
        <w:ind w:left="1416"/>
        <w:rPr>
          <w:rFonts w:cs="Arial"/>
          <w:szCs w:val="20"/>
        </w:rPr>
      </w:pPr>
      <w:r>
        <w:rPr>
          <w:rFonts w:cs="Arial"/>
          <w:szCs w:val="20"/>
        </w:rPr>
        <w:t xml:space="preserve">- </w:t>
      </w:r>
      <w:r>
        <w:rPr>
          <w:rFonts w:cs="Arial"/>
          <w:szCs w:val="20"/>
        </w:rPr>
        <w:tab/>
        <w:t xml:space="preserve">ne l’effectue pas correctement, </w:t>
      </w:r>
      <w:proofErr w:type="gramStart"/>
      <w:r>
        <w:rPr>
          <w:rFonts w:cs="Arial"/>
          <w:szCs w:val="20"/>
        </w:rPr>
        <w:t>ou</w:t>
      </w:r>
      <w:proofErr w:type="gramEnd"/>
      <w:r>
        <w:rPr>
          <w:rFonts w:cs="Arial"/>
          <w:szCs w:val="20"/>
        </w:rPr>
        <w:t xml:space="preserve"> </w:t>
      </w:r>
    </w:p>
    <w:p w14:paraId="0CD77887" w14:textId="77777777" w:rsidR="00EB3E62" w:rsidRDefault="00EB3E62" w:rsidP="005314BF">
      <w:pPr>
        <w:tabs>
          <w:tab w:val="left" w:pos="1701"/>
        </w:tabs>
        <w:spacing w:after="60"/>
        <w:ind w:left="1416"/>
        <w:rPr>
          <w:rFonts w:cs="Arial"/>
          <w:szCs w:val="20"/>
        </w:rPr>
      </w:pPr>
      <w:r>
        <w:rPr>
          <w:rFonts w:cs="Arial"/>
          <w:szCs w:val="20"/>
        </w:rPr>
        <w:t xml:space="preserve">- </w:t>
      </w:r>
      <w:r>
        <w:rPr>
          <w:rFonts w:cs="Arial"/>
          <w:szCs w:val="20"/>
        </w:rPr>
        <w:tab/>
        <w:t xml:space="preserve">obtient un avantage malgré une pénalité effectuée, </w:t>
      </w:r>
    </w:p>
    <w:p w14:paraId="41378505" w14:textId="77777777" w:rsidR="00EB3E62" w:rsidRDefault="00EB3E62" w:rsidP="005314BF">
      <w:pPr>
        <w:spacing w:after="60"/>
        <w:ind w:left="851"/>
        <w:rPr>
          <w:rFonts w:cs="Arial"/>
          <w:szCs w:val="20"/>
        </w:rPr>
      </w:pPr>
      <w:proofErr w:type="gramStart"/>
      <w:r>
        <w:rPr>
          <w:rFonts w:cs="Arial"/>
          <w:szCs w:val="20"/>
        </w:rPr>
        <w:t>le</w:t>
      </w:r>
      <w:proofErr w:type="gramEnd"/>
      <w:r>
        <w:rPr>
          <w:rFonts w:cs="Arial"/>
          <w:szCs w:val="20"/>
        </w:rPr>
        <w:t xml:space="preserve"> jury pourra lui imposer un ou plusieurs tours de pénalité à effectuer selon la RCV 44.2, ou réclamer contre ce bateau selon la RCV 60.1</w:t>
      </w:r>
      <w:r>
        <w:rPr>
          <w:rFonts w:cs="Arial"/>
          <w:i/>
          <w:iCs/>
          <w:szCs w:val="20"/>
        </w:rPr>
        <w:t xml:space="preserve">. </w:t>
      </w:r>
    </w:p>
    <w:p w14:paraId="09F6F094" w14:textId="77777777" w:rsidR="00EB3E62" w:rsidRDefault="00EB3E62" w:rsidP="005314BF">
      <w:pPr>
        <w:spacing w:after="60"/>
        <w:ind w:left="851" w:hanging="851"/>
        <w:rPr>
          <w:rFonts w:cs="Arial"/>
          <w:szCs w:val="20"/>
        </w:rPr>
      </w:pPr>
      <w:r>
        <w:rPr>
          <w:rFonts w:cs="Arial"/>
          <w:szCs w:val="20"/>
        </w:rPr>
        <w:t>SD5</w:t>
      </w:r>
      <w:r>
        <w:rPr>
          <w:rFonts w:cs="Arial"/>
          <w:szCs w:val="20"/>
        </w:rPr>
        <w:tab/>
        <w:t xml:space="preserve">Quand un incident a été jugé sur l’eau, le même incident ne pourra donner ensuite motif à réclamation ou à demande de réparation, sauf </w:t>
      </w:r>
    </w:p>
    <w:p w14:paraId="6178167C" w14:textId="77777777" w:rsidR="00EB3E62" w:rsidRDefault="00EB3E62" w:rsidP="005314BF">
      <w:pPr>
        <w:pStyle w:val="ListParagraph"/>
        <w:widowControl/>
        <w:numPr>
          <w:ilvl w:val="0"/>
          <w:numId w:val="6"/>
        </w:numPr>
        <w:autoSpaceDE/>
        <w:autoSpaceDN/>
        <w:spacing w:before="0" w:after="60"/>
        <w:ind w:left="1701"/>
        <w:contextualSpacing/>
        <w:jc w:val="both"/>
        <w:rPr>
          <w:rFonts w:cs="Arial"/>
          <w:color w:val="0070C0"/>
          <w:szCs w:val="20"/>
          <w:shd w:val="clear" w:color="auto" w:fill="FFFFFF"/>
        </w:rPr>
      </w:pPr>
      <w:proofErr w:type="gramStart"/>
      <w:r>
        <w:rPr>
          <w:rFonts w:cs="Arial"/>
          <w:szCs w:val="20"/>
        </w:rPr>
        <w:t>selon</w:t>
      </w:r>
      <w:proofErr w:type="gramEnd"/>
      <w:r>
        <w:rPr>
          <w:rFonts w:cs="Arial"/>
          <w:szCs w:val="20"/>
        </w:rPr>
        <w:t xml:space="preserve"> SD4, ou</w:t>
      </w:r>
    </w:p>
    <w:p w14:paraId="57038024" w14:textId="77777777" w:rsidR="00EB3E62" w:rsidRDefault="00EB3E62" w:rsidP="005314BF">
      <w:pPr>
        <w:pStyle w:val="ListParagraph"/>
        <w:widowControl/>
        <w:numPr>
          <w:ilvl w:val="0"/>
          <w:numId w:val="6"/>
        </w:numPr>
        <w:autoSpaceDE/>
        <w:autoSpaceDN/>
        <w:spacing w:before="0" w:after="60"/>
        <w:ind w:left="1701"/>
        <w:contextualSpacing/>
        <w:jc w:val="both"/>
        <w:rPr>
          <w:rFonts w:cs="Arial"/>
          <w:szCs w:val="20"/>
        </w:rPr>
      </w:pPr>
      <w:proofErr w:type="gramStart"/>
      <w:r>
        <w:rPr>
          <w:rFonts w:cs="Arial"/>
          <w:szCs w:val="20"/>
          <w:shd w:val="clear" w:color="auto" w:fill="FFFFFF"/>
        </w:rPr>
        <w:t>selon</w:t>
      </w:r>
      <w:proofErr w:type="gramEnd"/>
      <w:r>
        <w:rPr>
          <w:rFonts w:cs="Arial"/>
          <w:szCs w:val="20"/>
          <w:shd w:val="clear" w:color="auto" w:fill="FFFFFF"/>
        </w:rPr>
        <w:t xml:space="preserve"> la RCV 60.3 si le jury estime que la RCV 2 est également susceptible d’avoir été enfreinte.</w:t>
      </w:r>
      <w:r>
        <w:rPr>
          <w:rFonts w:cs="Arial"/>
          <w:color w:val="333333"/>
          <w:szCs w:val="20"/>
          <w:shd w:val="clear" w:color="auto" w:fill="FFFFFF"/>
        </w:rPr>
        <w:t>.</w:t>
      </w:r>
    </w:p>
    <w:p w14:paraId="3C57D0E7" w14:textId="77777777" w:rsidR="00EB3E62" w:rsidRDefault="00EB3E62" w:rsidP="005314BF">
      <w:pPr>
        <w:pStyle w:val="ListParagraph"/>
        <w:widowControl/>
        <w:numPr>
          <w:ilvl w:val="0"/>
          <w:numId w:val="6"/>
        </w:numPr>
        <w:autoSpaceDE/>
        <w:autoSpaceDN/>
        <w:spacing w:before="0" w:after="60"/>
        <w:ind w:left="1701"/>
        <w:contextualSpacing/>
        <w:jc w:val="both"/>
        <w:rPr>
          <w:rFonts w:cs="Arial"/>
          <w:szCs w:val="20"/>
        </w:rPr>
      </w:pPr>
      <w:proofErr w:type="gramStart"/>
      <w:r>
        <w:rPr>
          <w:rFonts w:cs="Arial"/>
          <w:szCs w:val="20"/>
          <w:shd w:val="clear" w:color="auto" w:fill="FFFFFF"/>
        </w:rPr>
        <w:t>selon</w:t>
      </w:r>
      <w:proofErr w:type="gramEnd"/>
      <w:r>
        <w:rPr>
          <w:rFonts w:cs="Arial"/>
          <w:szCs w:val="20"/>
          <w:shd w:val="clear" w:color="auto" w:fill="FFFFFF"/>
        </w:rPr>
        <w:t xml:space="preserve"> la RCV 61.4(b)(2) si une action du bateau pénalisé </w:t>
      </w:r>
      <w:r>
        <w:rPr>
          <w:rFonts w:cs="Arial"/>
          <w:color w:val="333333"/>
          <w:szCs w:val="20"/>
          <w:shd w:val="clear" w:color="auto" w:fill="FFFFFF"/>
        </w:rPr>
        <w:t>a causé une blessure ou un dommage physique ou </w:t>
      </w:r>
      <w:r>
        <w:rPr>
          <w:rFonts w:cs="Arial"/>
          <w:szCs w:val="20"/>
          <w:shd w:val="clear" w:color="auto" w:fill="FFFFFF"/>
        </w:rPr>
        <w:t xml:space="preserve">selon la RCV 61.4(b)(5) si </w:t>
      </w:r>
      <w:r>
        <w:rPr>
          <w:rFonts w:cs="Arial"/>
          <w:szCs w:val="20"/>
        </w:rPr>
        <w:t>la RCV 2 a été enfreinte</w:t>
      </w:r>
    </w:p>
    <w:p w14:paraId="0FF5F002" w14:textId="77777777" w:rsidR="00EB3E62" w:rsidRDefault="00EB3E62" w:rsidP="005314BF">
      <w:pPr>
        <w:spacing w:after="60"/>
        <w:ind w:left="851"/>
        <w:rPr>
          <w:rFonts w:cs="Arial"/>
          <w:szCs w:val="20"/>
        </w:rPr>
      </w:pPr>
      <w:r>
        <w:rPr>
          <w:rFonts w:cs="Arial"/>
          <w:szCs w:val="20"/>
        </w:rPr>
        <w:t>Une décision, action d’un juge ne pourra pas être motif à une demande de réparation, de réouverture ou être soumise à appel.</w:t>
      </w:r>
    </w:p>
    <w:p w14:paraId="69053824" w14:textId="77777777" w:rsidR="00EB3E62" w:rsidRDefault="00EB3E62" w:rsidP="005314BF">
      <w:pPr>
        <w:spacing w:after="60"/>
        <w:ind w:left="851" w:hanging="851"/>
        <w:rPr>
          <w:rFonts w:cs="Arial"/>
          <w:szCs w:val="20"/>
        </w:rPr>
      </w:pPr>
      <w:r>
        <w:rPr>
          <w:rFonts w:cs="Arial"/>
          <w:szCs w:val="20"/>
        </w:rPr>
        <w:t>SD6</w:t>
      </w:r>
      <w:r>
        <w:rPr>
          <w:rFonts w:cs="Arial"/>
          <w:szCs w:val="20"/>
        </w:rPr>
        <w:tab/>
        <w:t xml:space="preserve">Les bateaux jury peuvent se positionner en tout point de la zone de course. Leur position ne pourra pas donner lieu à une demande de réparation d’un bateau (ceci modifie la RCV </w:t>
      </w:r>
      <w:r>
        <w:rPr>
          <w:rFonts w:cs="Arial"/>
          <w:szCs w:val="20"/>
          <w:shd w:val="clear" w:color="auto" w:fill="FFFFFF"/>
        </w:rPr>
        <w:t>61.4(b)(1)</w:t>
      </w:r>
    </w:p>
    <w:p w14:paraId="0847BEDC" w14:textId="77777777" w:rsidR="00EB3E62" w:rsidRDefault="00EB3E62" w:rsidP="005314BF">
      <w:pPr>
        <w:spacing w:after="60"/>
        <w:ind w:left="851" w:hanging="851"/>
        <w:rPr>
          <w:rFonts w:cs="Arial"/>
          <w:i/>
          <w:szCs w:val="20"/>
        </w:rPr>
      </w:pPr>
      <w:r>
        <w:rPr>
          <w:rFonts w:cs="Arial"/>
          <w:szCs w:val="20"/>
        </w:rPr>
        <w:t>SD7</w:t>
      </w:r>
      <w:r>
        <w:rPr>
          <w:rFonts w:cs="Arial"/>
          <w:szCs w:val="20"/>
        </w:rPr>
        <w:tab/>
        <w:t>La procédure normale de réclamation reste applicable pour les incidents n’ayant pas fait l’objet d’une action du jury sur l’eau.</w:t>
      </w:r>
    </w:p>
    <w:p w14:paraId="099ACD9C" w14:textId="77777777" w:rsidR="00EB3E62" w:rsidRDefault="00EB3E62" w:rsidP="005314BF">
      <w:pPr>
        <w:spacing w:after="60"/>
        <w:rPr>
          <w:rFonts w:cs="Arial"/>
        </w:rPr>
      </w:pPr>
    </w:p>
    <w:p w14:paraId="3DDF8909" w14:textId="77777777" w:rsidR="004506AD" w:rsidRDefault="004506AD" w:rsidP="005314BF">
      <w:pPr>
        <w:spacing w:after="60"/>
        <w:rPr>
          <w:rFonts w:cs="Arial"/>
        </w:rPr>
      </w:pPr>
    </w:p>
    <w:p w14:paraId="5F2DF370" w14:textId="77777777" w:rsidR="004506AD" w:rsidRDefault="004506AD" w:rsidP="005314BF">
      <w:pPr>
        <w:spacing w:after="60"/>
        <w:rPr>
          <w:rFonts w:cs="Arial"/>
        </w:rPr>
      </w:pPr>
    </w:p>
    <w:sectPr w:rsidR="004506AD">
      <w:footerReference w:type="default" r:id="rId8"/>
      <w:pgSz w:w="11900" w:h="16840"/>
      <w:pgMar w:top="1320" w:right="1275" w:bottom="1180" w:left="1275"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EEC4" w14:textId="77777777" w:rsidR="00AF232F" w:rsidRDefault="00AF232F">
      <w:r>
        <w:separator/>
      </w:r>
    </w:p>
  </w:endnote>
  <w:endnote w:type="continuationSeparator" w:id="0">
    <w:p w14:paraId="32133102" w14:textId="77777777" w:rsidR="00AF232F" w:rsidRDefault="00AF232F">
      <w:r>
        <w:continuationSeparator/>
      </w:r>
    </w:p>
  </w:endnote>
  <w:endnote w:type="continuationNotice" w:id="1">
    <w:p w14:paraId="4AEEB913" w14:textId="77777777" w:rsidR="00F451EF" w:rsidRDefault="00F4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4ED3" w14:textId="77777777" w:rsidR="00180A3C" w:rsidRDefault="00FB25C7">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7C1F3F7B" wp14:editId="55D34F90">
              <wp:simplePos x="0" y="0"/>
              <wp:positionH relativeFrom="page">
                <wp:posOffset>6547800</wp:posOffset>
              </wp:positionH>
              <wp:positionV relativeFrom="page">
                <wp:posOffset>9926319</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FAB8DB2" w14:textId="77777777" w:rsidR="00180A3C" w:rsidRDefault="00FB25C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C1F3F7B" id="_x0000_t202" coordsize="21600,21600" o:spt="202" path="m,l,21600r21600,l21600,xe">
              <v:stroke joinstyle="miter"/>
              <v:path gradientshapeok="t" o:connecttype="rect"/>
            </v:shapetype>
            <v:shape id="Textbox 2" o:spid="_x0000_s1026" type="#_x0000_t202" style="position:absolute;margin-left:515.55pt;margin-top:781.6pt;width:12.6pt;height: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" filled="f" stroked="f">
              <v:textbox inset="0,0,0,0">
                <w:txbxContent>
                  <w:p w14:paraId="6FAB8DB2" w14:textId="77777777" w:rsidR="00180A3C" w:rsidRDefault="00FB25C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6A02726" wp14:editId="690A9C7E">
              <wp:simplePos x="0" y="0"/>
              <wp:positionH relativeFrom="page">
                <wp:posOffset>887094</wp:posOffset>
              </wp:positionH>
              <wp:positionV relativeFrom="page">
                <wp:posOffset>10091419</wp:posOffset>
              </wp:positionV>
              <wp:extent cx="336169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1690" cy="165100"/>
                      </a:xfrm>
                      <a:prstGeom prst="rect">
                        <a:avLst/>
                      </a:prstGeom>
                    </wps:spPr>
                    <wps:txbx>
                      <w:txbxContent>
                        <w:p w14:paraId="625507F1" w14:textId="29B15A4E" w:rsidR="00180A3C" w:rsidRDefault="00180A3C">
                          <w:pPr>
                            <w:pStyle w:val="BodyText"/>
                            <w:spacing w:line="244" w:lineRule="exact"/>
                            <w:ind w:left="20"/>
                          </w:pPr>
                        </w:p>
                      </w:txbxContent>
                    </wps:txbx>
                    <wps:bodyPr wrap="square" lIns="0" tIns="0" rIns="0" bIns="0" rtlCol="0">
                      <a:noAutofit/>
                    </wps:bodyPr>
                  </wps:wsp>
                </a:graphicData>
              </a:graphic>
            </wp:anchor>
          </w:drawing>
        </mc:Choice>
        <mc:Fallback>
          <w:pict>
            <v:shape w14:anchorId="26A02726" id="Textbox 3" o:spid="_x0000_s1027" type="#_x0000_t202" style="position:absolute;margin-left:69.85pt;margin-top:794.6pt;width:264.7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" filled="f" stroked="f">
              <v:textbox inset="0,0,0,0">
                <w:txbxContent>
                  <w:p w14:paraId="625507F1" w14:textId="29B15A4E" w:rsidR="00180A3C" w:rsidRDefault="00180A3C">
                    <w:pPr>
                      <w:pStyle w:val="BodyText"/>
                      <w:spacing w:line="244"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E5D3" w14:textId="77777777" w:rsidR="00AF232F" w:rsidRDefault="00AF232F">
      <w:r>
        <w:separator/>
      </w:r>
    </w:p>
  </w:footnote>
  <w:footnote w:type="continuationSeparator" w:id="0">
    <w:p w14:paraId="55AD07B9" w14:textId="77777777" w:rsidR="00AF232F" w:rsidRDefault="00AF232F">
      <w:r>
        <w:continuationSeparator/>
      </w:r>
    </w:p>
  </w:footnote>
  <w:footnote w:type="continuationNotice" w:id="1">
    <w:p w14:paraId="2A923C93" w14:textId="77777777" w:rsidR="00F451EF" w:rsidRDefault="00F451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C01"/>
    <w:multiLevelType w:val="multilevel"/>
    <w:tmpl w:val="AD96DB6A"/>
    <w:lvl w:ilvl="0">
      <w:start w:val="1"/>
      <w:numFmt w:val="decimal"/>
      <w:lvlText w:val="%1."/>
      <w:lvlJc w:val="left"/>
      <w:pPr>
        <w:ind w:left="878" w:hanging="736"/>
      </w:pPr>
      <w:rPr>
        <w:rFonts w:ascii="Arial" w:eastAsia="Arial" w:hAnsi="Arial" w:cs="Arial" w:hint="default"/>
        <w:b/>
        <w:bCs/>
        <w:i w:val="0"/>
        <w:iCs w:val="0"/>
        <w:spacing w:val="0"/>
        <w:w w:val="100"/>
        <w:sz w:val="20"/>
        <w:szCs w:val="20"/>
        <w:lang w:val="fr-FR" w:eastAsia="en-US" w:bidi="ar-SA"/>
      </w:rPr>
    </w:lvl>
    <w:lvl w:ilvl="1">
      <w:start w:val="1"/>
      <w:numFmt w:val="decimal"/>
      <w:lvlText w:val="%1.%2"/>
      <w:lvlJc w:val="left"/>
      <w:pPr>
        <w:ind w:left="878" w:hanging="736"/>
      </w:pPr>
      <w:rPr>
        <w:rFonts w:hint="default"/>
        <w:spacing w:val="-1"/>
        <w:w w:val="100"/>
        <w:lang w:val="fr-FR" w:eastAsia="en-US" w:bidi="ar-SA"/>
      </w:rPr>
    </w:lvl>
    <w:lvl w:ilvl="2">
      <w:numFmt w:val="bullet"/>
      <w:lvlText w:val="•"/>
      <w:lvlJc w:val="left"/>
      <w:pPr>
        <w:ind w:left="1821" w:hanging="736"/>
      </w:pPr>
      <w:rPr>
        <w:rFonts w:hint="default"/>
        <w:lang w:val="fr-FR" w:eastAsia="en-US" w:bidi="ar-SA"/>
      </w:rPr>
    </w:lvl>
    <w:lvl w:ilvl="3">
      <w:numFmt w:val="bullet"/>
      <w:lvlText w:val="•"/>
      <w:lvlJc w:val="left"/>
      <w:pPr>
        <w:ind w:left="2762" w:hanging="736"/>
      </w:pPr>
      <w:rPr>
        <w:rFonts w:hint="default"/>
        <w:lang w:val="fr-FR" w:eastAsia="en-US" w:bidi="ar-SA"/>
      </w:rPr>
    </w:lvl>
    <w:lvl w:ilvl="4">
      <w:numFmt w:val="bullet"/>
      <w:lvlText w:val="•"/>
      <w:lvlJc w:val="left"/>
      <w:pPr>
        <w:ind w:left="3703" w:hanging="736"/>
      </w:pPr>
      <w:rPr>
        <w:rFonts w:hint="default"/>
        <w:lang w:val="fr-FR" w:eastAsia="en-US" w:bidi="ar-SA"/>
      </w:rPr>
    </w:lvl>
    <w:lvl w:ilvl="5">
      <w:numFmt w:val="bullet"/>
      <w:lvlText w:val="•"/>
      <w:lvlJc w:val="left"/>
      <w:pPr>
        <w:ind w:left="4644" w:hanging="736"/>
      </w:pPr>
      <w:rPr>
        <w:rFonts w:hint="default"/>
        <w:lang w:val="fr-FR" w:eastAsia="en-US" w:bidi="ar-SA"/>
      </w:rPr>
    </w:lvl>
    <w:lvl w:ilvl="6">
      <w:numFmt w:val="bullet"/>
      <w:lvlText w:val="•"/>
      <w:lvlJc w:val="left"/>
      <w:pPr>
        <w:ind w:left="5585" w:hanging="736"/>
      </w:pPr>
      <w:rPr>
        <w:rFonts w:hint="default"/>
        <w:lang w:val="fr-FR" w:eastAsia="en-US" w:bidi="ar-SA"/>
      </w:rPr>
    </w:lvl>
    <w:lvl w:ilvl="7">
      <w:numFmt w:val="bullet"/>
      <w:lvlText w:val="•"/>
      <w:lvlJc w:val="left"/>
      <w:pPr>
        <w:ind w:left="6526" w:hanging="736"/>
      </w:pPr>
      <w:rPr>
        <w:rFonts w:hint="default"/>
        <w:lang w:val="fr-FR" w:eastAsia="en-US" w:bidi="ar-SA"/>
      </w:rPr>
    </w:lvl>
    <w:lvl w:ilvl="8">
      <w:numFmt w:val="bullet"/>
      <w:lvlText w:val="•"/>
      <w:lvlJc w:val="left"/>
      <w:pPr>
        <w:ind w:left="7467" w:hanging="736"/>
      </w:pPr>
      <w:rPr>
        <w:rFonts w:hint="default"/>
        <w:lang w:val="fr-FR" w:eastAsia="en-US" w:bidi="ar-SA"/>
      </w:rPr>
    </w:lvl>
  </w:abstractNum>
  <w:abstractNum w:abstractNumId="1" w15:restartNumberingAfterBreak="0">
    <w:nsid w:val="137657C6"/>
    <w:multiLevelType w:val="multilevel"/>
    <w:tmpl w:val="111CE32E"/>
    <w:lvl w:ilvl="0">
      <w:start w:val="18"/>
      <w:numFmt w:val="decimal"/>
      <w:lvlText w:val="%1"/>
      <w:lvlJc w:val="left"/>
      <w:pPr>
        <w:ind w:left="878" w:hanging="736"/>
      </w:pPr>
      <w:rPr>
        <w:rFonts w:ascii="Arial" w:eastAsia="Arial" w:hAnsi="Arial" w:cs="Arial" w:hint="default"/>
        <w:b/>
        <w:bCs/>
        <w:i w:val="0"/>
        <w:iCs w:val="0"/>
        <w:spacing w:val="0"/>
        <w:w w:val="100"/>
        <w:sz w:val="20"/>
        <w:szCs w:val="20"/>
        <w:lang w:val="fr-FR" w:eastAsia="en-US" w:bidi="ar-SA"/>
      </w:rPr>
    </w:lvl>
    <w:lvl w:ilvl="1">
      <w:start w:val="1"/>
      <w:numFmt w:val="decimal"/>
      <w:lvlText w:val="%1.%2"/>
      <w:lvlJc w:val="left"/>
      <w:pPr>
        <w:ind w:left="878" w:hanging="736"/>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574" w:hanging="736"/>
      </w:pPr>
      <w:rPr>
        <w:rFonts w:hint="default"/>
        <w:lang w:val="fr-FR" w:eastAsia="en-US" w:bidi="ar-SA"/>
      </w:rPr>
    </w:lvl>
    <w:lvl w:ilvl="3">
      <w:numFmt w:val="bullet"/>
      <w:lvlText w:val="•"/>
      <w:lvlJc w:val="left"/>
      <w:pPr>
        <w:ind w:left="3421" w:hanging="736"/>
      </w:pPr>
      <w:rPr>
        <w:rFonts w:hint="default"/>
        <w:lang w:val="fr-FR" w:eastAsia="en-US" w:bidi="ar-SA"/>
      </w:rPr>
    </w:lvl>
    <w:lvl w:ilvl="4">
      <w:numFmt w:val="bullet"/>
      <w:lvlText w:val="•"/>
      <w:lvlJc w:val="left"/>
      <w:pPr>
        <w:ind w:left="4268" w:hanging="736"/>
      </w:pPr>
      <w:rPr>
        <w:rFonts w:hint="default"/>
        <w:lang w:val="fr-FR" w:eastAsia="en-US" w:bidi="ar-SA"/>
      </w:rPr>
    </w:lvl>
    <w:lvl w:ilvl="5">
      <w:numFmt w:val="bullet"/>
      <w:lvlText w:val="•"/>
      <w:lvlJc w:val="left"/>
      <w:pPr>
        <w:ind w:left="5115" w:hanging="736"/>
      </w:pPr>
      <w:rPr>
        <w:rFonts w:hint="default"/>
        <w:lang w:val="fr-FR" w:eastAsia="en-US" w:bidi="ar-SA"/>
      </w:rPr>
    </w:lvl>
    <w:lvl w:ilvl="6">
      <w:numFmt w:val="bullet"/>
      <w:lvlText w:val="•"/>
      <w:lvlJc w:val="left"/>
      <w:pPr>
        <w:ind w:left="5962" w:hanging="736"/>
      </w:pPr>
      <w:rPr>
        <w:rFonts w:hint="default"/>
        <w:lang w:val="fr-FR" w:eastAsia="en-US" w:bidi="ar-SA"/>
      </w:rPr>
    </w:lvl>
    <w:lvl w:ilvl="7">
      <w:numFmt w:val="bullet"/>
      <w:lvlText w:val="•"/>
      <w:lvlJc w:val="left"/>
      <w:pPr>
        <w:ind w:left="6809" w:hanging="736"/>
      </w:pPr>
      <w:rPr>
        <w:rFonts w:hint="default"/>
        <w:lang w:val="fr-FR" w:eastAsia="en-US" w:bidi="ar-SA"/>
      </w:rPr>
    </w:lvl>
    <w:lvl w:ilvl="8">
      <w:numFmt w:val="bullet"/>
      <w:lvlText w:val="•"/>
      <w:lvlJc w:val="left"/>
      <w:pPr>
        <w:ind w:left="7656" w:hanging="736"/>
      </w:pPr>
      <w:rPr>
        <w:rFonts w:hint="default"/>
        <w:lang w:val="fr-FR" w:eastAsia="en-US" w:bidi="ar-SA"/>
      </w:rPr>
    </w:lvl>
  </w:abstractNum>
  <w:abstractNum w:abstractNumId="2" w15:restartNumberingAfterBreak="0">
    <w:nsid w:val="1A2A7CEE"/>
    <w:multiLevelType w:val="hybridMultilevel"/>
    <w:tmpl w:val="B934B4EA"/>
    <w:lvl w:ilvl="0" w:tplc="02A6011A">
      <w:start w:val="9"/>
      <w:numFmt w:val="decimal"/>
      <w:lvlText w:val="%1"/>
      <w:lvlJc w:val="left"/>
      <w:pPr>
        <w:ind w:left="861" w:hanging="360"/>
      </w:pPr>
      <w:rPr>
        <w:rFonts w:hint="default"/>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3" w15:restartNumberingAfterBreak="0">
    <w:nsid w:val="26ED196F"/>
    <w:multiLevelType w:val="multilevel"/>
    <w:tmpl w:val="F3385812"/>
    <w:lvl w:ilvl="0">
      <w:start w:val="20"/>
      <w:numFmt w:val="decimal"/>
      <w:lvlText w:val="%1."/>
      <w:lvlJc w:val="left"/>
      <w:pPr>
        <w:ind w:left="851" w:hanging="709"/>
      </w:pPr>
      <w:rPr>
        <w:rFonts w:ascii="Arial" w:eastAsia="Arial" w:hAnsi="Arial" w:cs="Arial" w:hint="default"/>
        <w:b/>
        <w:bCs/>
        <w:i w:val="0"/>
        <w:iCs w:val="0"/>
        <w:spacing w:val="0"/>
        <w:w w:val="100"/>
        <w:sz w:val="20"/>
        <w:szCs w:val="20"/>
        <w:lang w:val="fr-FR" w:eastAsia="en-US" w:bidi="ar-SA"/>
      </w:rPr>
    </w:lvl>
    <w:lvl w:ilvl="1">
      <w:start w:val="1"/>
      <w:numFmt w:val="decimal"/>
      <w:lvlText w:val="%1.%2"/>
      <w:lvlJc w:val="left"/>
      <w:pPr>
        <w:ind w:left="878" w:hanging="736"/>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1821" w:hanging="736"/>
      </w:pPr>
      <w:rPr>
        <w:rFonts w:hint="default"/>
        <w:lang w:val="fr-FR" w:eastAsia="en-US" w:bidi="ar-SA"/>
      </w:rPr>
    </w:lvl>
    <w:lvl w:ilvl="3">
      <w:numFmt w:val="bullet"/>
      <w:lvlText w:val="•"/>
      <w:lvlJc w:val="left"/>
      <w:pPr>
        <w:ind w:left="2762" w:hanging="736"/>
      </w:pPr>
      <w:rPr>
        <w:rFonts w:hint="default"/>
        <w:lang w:val="fr-FR" w:eastAsia="en-US" w:bidi="ar-SA"/>
      </w:rPr>
    </w:lvl>
    <w:lvl w:ilvl="4">
      <w:numFmt w:val="bullet"/>
      <w:lvlText w:val="•"/>
      <w:lvlJc w:val="left"/>
      <w:pPr>
        <w:ind w:left="3703" w:hanging="736"/>
      </w:pPr>
      <w:rPr>
        <w:rFonts w:hint="default"/>
        <w:lang w:val="fr-FR" w:eastAsia="en-US" w:bidi="ar-SA"/>
      </w:rPr>
    </w:lvl>
    <w:lvl w:ilvl="5">
      <w:numFmt w:val="bullet"/>
      <w:lvlText w:val="•"/>
      <w:lvlJc w:val="left"/>
      <w:pPr>
        <w:ind w:left="4644" w:hanging="736"/>
      </w:pPr>
      <w:rPr>
        <w:rFonts w:hint="default"/>
        <w:lang w:val="fr-FR" w:eastAsia="en-US" w:bidi="ar-SA"/>
      </w:rPr>
    </w:lvl>
    <w:lvl w:ilvl="6">
      <w:numFmt w:val="bullet"/>
      <w:lvlText w:val="•"/>
      <w:lvlJc w:val="left"/>
      <w:pPr>
        <w:ind w:left="5585" w:hanging="736"/>
      </w:pPr>
      <w:rPr>
        <w:rFonts w:hint="default"/>
        <w:lang w:val="fr-FR" w:eastAsia="en-US" w:bidi="ar-SA"/>
      </w:rPr>
    </w:lvl>
    <w:lvl w:ilvl="7">
      <w:numFmt w:val="bullet"/>
      <w:lvlText w:val="•"/>
      <w:lvlJc w:val="left"/>
      <w:pPr>
        <w:ind w:left="6526" w:hanging="736"/>
      </w:pPr>
      <w:rPr>
        <w:rFonts w:hint="default"/>
        <w:lang w:val="fr-FR" w:eastAsia="en-US" w:bidi="ar-SA"/>
      </w:rPr>
    </w:lvl>
    <w:lvl w:ilvl="8">
      <w:numFmt w:val="bullet"/>
      <w:lvlText w:val="•"/>
      <w:lvlJc w:val="left"/>
      <w:pPr>
        <w:ind w:left="7467" w:hanging="736"/>
      </w:pPr>
      <w:rPr>
        <w:rFonts w:hint="default"/>
        <w:lang w:val="fr-FR" w:eastAsia="en-US" w:bidi="ar-SA"/>
      </w:rPr>
    </w:lvl>
  </w:abstractNum>
  <w:abstractNum w:abstractNumId="4" w15:restartNumberingAfterBreak="0">
    <w:nsid w:val="4AE85E89"/>
    <w:multiLevelType w:val="multilevel"/>
    <w:tmpl w:val="AA9C98C6"/>
    <w:lvl w:ilvl="0">
      <w:start w:val="9"/>
      <w:numFmt w:val="decimal"/>
      <w:lvlText w:val="%1"/>
      <w:lvlJc w:val="left"/>
      <w:pPr>
        <w:ind w:left="525" w:hanging="360"/>
      </w:pPr>
      <w:rPr>
        <w:rFonts w:hint="default"/>
      </w:rPr>
    </w:lvl>
    <w:lvl w:ilvl="1">
      <w:start w:val="1"/>
      <w:numFmt w:val="decimal"/>
      <w:isLgl/>
      <w:lvlText w:val="%1.%2"/>
      <w:lvlJc w:val="left"/>
      <w:pPr>
        <w:ind w:left="915" w:hanging="750"/>
      </w:pPr>
      <w:rPr>
        <w:rFonts w:hint="default"/>
      </w:rPr>
    </w:lvl>
    <w:lvl w:ilvl="2">
      <w:start w:val="1"/>
      <w:numFmt w:val="decimal"/>
      <w:isLgl/>
      <w:lvlText w:val="%1.%2.%3"/>
      <w:lvlJc w:val="left"/>
      <w:pPr>
        <w:ind w:left="915" w:hanging="750"/>
      </w:pPr>
      <w:rPr>
        <w:rFonts w:hint="default"/>
      </w:rPr>
    </w:lvl>
    <w:lvl w:ilvl="3">
      <w:start w:val="1"/>
      <w:numFmt w:val="decimal"/>
      <w:isLgl/>
      <w:lvlText w:val="%1.%2.%3.%4"/>
      <w:lvlJc w:val="left"/>
      <w:pPr>
        <w:ind w:left="915" w:hanging="75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605" w:hanging="1440"/>
      </w:pPr>
      <w:rPr>
        <w:rFonts w:hint="default"/>
      </w:rPr>
    </w:lvl>
  </w:abstractNum>
  <w:abstractNum w:abstractNumId="5" w15:restartNumberingAfterBreak="0">
    <w:nsid w:val="7BC0538F"/>
    <w:multiLevelType w:val="hybridMultilevel"/>
    <w:tmpl w:val="CEFEA3AA"/>
    <w:lvl w:ilvl="0" w:tplc="D9FC372A">
      <w:numFmt w:val="bullet"/>
      <w:lvlText w:val="-"/>
      <w:lvlJc w:val="left"/>
      <w:pPr>
        <w:ind w:left="1936" w:hanging="360"/>
      </w:pPr>
      <w:rPr>
        <w:rFonts w:ascii="Arial" w:eastAsiaTheme="minorHAnsi" w:hAnsi="Arial" w:cs="Arial" w:hint="default"/>
        <w:color w:val="auto"/>
      </w:rPr>
    </w:lvl>
    <w:lvl w:ilvl="1" w:tplc="040C0003">
      <w:start w:val="1"/>
      <w:numFmt w:val="bullet"/>
      <w:lvlText w:val="o"/>
      <w:lvlJc w:val="left"/>
      <w:pPr>
        <w:ind w:left="2656" w:hanging="360"/>
      </w:pPr>
      <w:rPr>
        <w:rFonts w:ascii="Courier New" w:hAnsi="Courier New" w:cs="Courier New" w:hint="default"/>
      </w:rPr>
    </w:lvl>
    <w:lvl w:ilvl="2" w:tplc="040C0005">
      <w:start w:val="1"/>
      <w:numFmt w:val="bullet"/>
      <w:lvlText w:val=""/>
      <w:lvlJc w:val="left"/>
      <w:pPr>
        <w:ind w:left="3376" w:hanging="360"/>
      </w:pPr>
      <w:rPr>
        <w:rFonts w:ascii="Wingdings" w:hAnsi="Wingdings" w:hint="default"/>
      </w:rPr>
    </w:lvl>
    <w:lvl w:ilvl="3" w:tplc="040C0001">
      <w:start w:val="1"/>
      <w:numFmt w:val="bullet"/>
      <w:lvlText w:val=""/>
      <w:lvlJc w:val="left"/>
      <w:pPr>
        <w:ind w:left="4096" w:hanging="360"/>
      </w:pPr>
      <w:rPr>
        <w:rFonts w:ascii="Symbol" w:hAnsi="Symbol" w:hint="default"/>
      </w:rPr>
    </w:lvl>
    <w:lvl w:ilvl="4" w:tplc="040C0003">
      <w:start w:val="1"/>
      <w:numFmt w:val="bullet"/>
      <w:lvlText w:val="o"/>
      <w:lvlJc w:val="left"/>
      <w:pPr>
        <w:ind w:left="4816" w:hanging="360"/>
      </w:pPr>
      <w:rPr>
        <w:rFonts w:ascii="Courier New" w:hAnsi="Courier New" w:cs="Courier New" w:hint="default"/>
      </w:rPr>
    </w:lvl>
    <w:lvl w:ilvl="5" w:tplc="040C0005">
      <w:start w:val="1"/>
      <w:numFmt w:val="bullet"/>
      <w:lvlText w:val=""/>
      <w:lvlJc w:val="left"/>
      <w:pPr>
        <w:ind w:left="5536" w:hanging="360"/>
      </w:pPr>
      <w:rPr>
        <w:rFonts w:ascii="Wingdings" w:hAnsi="Wingdings" w:hint="default"/>
      </w:rPr>
    </w:lvl>
    <w:lvl w:ilvl="6" w:tplc="040C0001">
      <w:start w:val="1"/>
      <w:numFmt w:val="bullet"/>
      <w:lvlText w:val=""/>
      <w:lvlJc w:val="left"/>
      <w:pPr>
        <w:ind w:left="6256" w:hanging="360"/>
      </w:pPr>
      <w:rPr>
        <w:rFonts w:ascii="Symbol" w:hAnsi="Symbol" w:hint="default"/>
      </w:rPr>
    </w:lvl>
    <w:lvl w:ilvl="7" w:tplc="040C0003">
      <w:start w:val="1"/>
      <w:numFmt w:val="bullet"/>
      <w:lvlText w:val="o"/>
      <w:lvlJc w:val="left"/>
      <w:pPr>
        <w:ind w:left="6976" w:hanging="360"/>
      </w:pPr>
      <w:rPr>
        <w:rFonts w:ascii="Courier New" w:hAnsi="Courier New" w:cs="Courier New" w:hint="default"/>
      </w:rPr>
    </w:lvl>
    <w:lvl w:ilvl="8" w:tplc="040C0005">
      <w:start w:val="1"/>
      <w:numFmt w:val="bullet"/>
      <w:lvlText w:val=""/>
      <w:lvlJc w:val="left"/>
      <w:pPr>
        <w:ind w:left="7696" w:hanging="360"/>
      </w:pPr>
      <w:rPr>
        <w:rFonts w:ascii="Wingdings" w:hAnsi="Wingdings" w:hint="default"/>
      </w:rPr>
    </w:lvl>
  </w:abstractNum>
  <w:num w:numId="1" w16cid:durableId="909772886">
    <w:abstractNumId w:val="3"/>
  </w:num>
  <w:num w:numId="2" w16cid:durableId="776800759">
    <w:abstractNumId w:val="1"/>
  </w:num>
  <w:num w:numId="3" w16cid:durableId="730494602">
    <w:abstractNumId w:val="0"/>
  </w:num>
  <w:num w:numId="4" w16cid:durableId="833111375">
    <w:abstractNumId w:val="2"/>
  </w:num>
  <w:num w:numId="5" w16cid:durableId="1925215423">
    <w:abstractNumId w:val="4"/>
  </w:num>
  <w:num w:numId="6" w16cid:durableId="5651845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80A3C"/>
    <w:rsid w:val="00033D33"/>
    <w:rsid w:val="0006108C"/>
    <w:rsid w:val="0013377F"/>
    <w:rsid w:val="00180A3C"/>
    <w:rsid w:val="001F56DB"/>
    <w:rsid w:val="002B0294"/>
    <w:rsid w:val="00384E87"/>
    <w:rsid w:val="004037A7"/>
    <w:rsid w:val="004506AD"/>
    <w:rsid w:val="00510D2F"/>
    <w:rsid w:val="005314BF"/>
    <w:rsid w:val="006345D7"/>
    <w:rsid w:val="006A3A08"/>
    <w:rsid w:val="006C5660"/>
    <w:rsid w:val="00771028"/>
    <w:rsid w:val="007A784F"/>
    <w:rsid w:val="008067B6"/>
    <w:rsid w:val="00842BCE"/>
    <w:rsid w:val="008C2897"/>
    <w:rsid w:val="009052CB"/>
    <w:rsid w:val="00955CCC"/>
    <w:rsid w:val="009A0936"/>
    <w:rsid w:val="00A43AEF"/>
    <w:rsid w:val="00A56EAC"/>
    <w:rsid w:val="00AF232F"/>
    <w:rsid w:val="00AF4A89"/>
    <w:rsid w:val="00B148DA"/>
    <w:rsid w:val="00B71BCD"/>
    <w:rsid w:val="00BD5301"/>
    <w:rsid w:val="00CD13F4"/>
    <w:rsid w:val="00EB3E62"/>
    <w:rsid w:val="00F35B61"/>
    <w:rsid w:val="00F451EF"/>
    <w:rsid w:val="00F5420A"/>
    <w:rsid w:val="00FB25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5884"/>
  <w15:docId w15:val="{AD83D084-5290-4793-8BC4-A3D48AD1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hanging="7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78"/>
    </w:pPr>
  </w:style>
  <w:style w:type="paragraph" w:styleId="ListParagraph">
    <w:name w:val="List Paragraph"/>
    <w:basedOn w:val="Normal"/>
    <w:uiPriority w:val="34"/>
    <w:qFormat/>
    <w:pPr>
      <w:spacing w:before="157"/>
      <w:ind w:left="878" w:hanging="736"/>
    </w:pPr>
  </w:style>
  <w:style w:type="paragraph" w:customStyle="1" w:styleId="TableParagraph">
    <w:name w:val="Table Paragraph"/>
    <w:basedOn w:val="Normal"/>
    <w:uiPriority w:val="1"/>
    <w:qFormat/>
    <w:pPr>
      <w:spacing w:before="63"/>
      <w:ind w:left="85"/>
    </w:pPr>
    <w:rPr>
      <w:rFonts w:ascii="Arial MT" w:eastAsia="Arial MT" w:hAnsi="Arial MT" w:cs="Arial MT"/>
    </w:rPr>
  </w:style>
  <w:style w:type="paragraph" w:styleId="Header">
    <w:name w:val="header"/>
    <w:basedOn w:val="Normal"/>
    <w:link w:val="HeaderChar"/>
    <w:uiPriority w:val="99"/>
    <w:unhideWhenUsed/>
    <w:rsid w:val="00F451EF"/>
    <w:pPr>
      <w:tabs>
        <w:tab w:val="center" w:pos="4680"/>
        <w:tab w:val="right" w:pos="9360"/>
      </w:tabs>
    </w:pPr>
  </w:style>
  <w:style w:type="character" w:customStyle="1" w:styleId="HeaderChar">
    <w:name w:val="Header Char"/>
    <w:basedOn w:val="DefaultParagraphFont"/>
    <w:link w:val="Header"/>
    <w:uiPriority w:val="99"/>
    <w:rsid w:val="00F451EF"/>
    <w:rPr>
      <w:rFonts w:ascii="Calibri" w:eastAsia="Calibri" w:hAnsi="Calibri" w:cs="Calibri"/>
      <w:lang w:val="fr-FR"/>
    </w:rPr>
  </w:style>
  <w:style w:type="paragraph" w:styleId="Footer">
    <w:name w:val="footer"/>
    <w:basedOn w:val="Normal"/>
    <w:link w:val="FooterChar"/>
    <w:uiPriority w:val="99"/>
    <w:unhideWhenUsed/>
    <w:rsid w:val="00F451EF"/>
    <w:pPr>
      <w:tabs>
        <w:tab w:val="center" w:pos="4680"/>
        <w:tab w:val="right" w:pos="9360"/>
      </w:tabs>
    </w:pPr>
  </w:style>
  <w:style w:type="character" w:customStyle="1" w:styleId="FooterChar">
    <w:name w:val="Footer Char"/>
    <w:basedOn w:val="DefaultParagraphFont"/>
    <w:link w:val="Footer"/>
    <w:uiPriority w:val="99"/>
    <w:rsid w:val="00F451EF"/>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0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IC Régate Interligue VNO CVBS</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Régate Interligue VNO CVBS</dc:title>
  <cp:lastModifiedBy>Le Freche, Thomas</cp:lastModifiedBy>
  <cp:revision>2</cp:revision>
  <dcterms:created xsi:type="dcterms:W3CDTF">2025-06-16T11:55:00Z</dcterms:created>
  <dcterms:modified xsi:type="dcterms:W3CDTF">2025-06-16T11:55:00Z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Pages</vt:lpwstr>
  </property>
  <property fmtid="{D5CDD505-2E9C-101B-9397-08002B2CF9AE}" pid="4" name="LastSaved">
    <vt:filetime>2025-05-01T00:00:00Z</vt:filetime>
  </property>
  <property fmtid="{D5CDD505-2E9C-101B-9397-08002B2CF9AE}" pid="5" name="Producer">
    <vt:lpwstr>macOS Version 15.4.1 (assemblage 24E263) Quartz PDFContext</vt:lpwstr>
  </property>
</Properties>
</file>